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9D" w:rsidRPr="006364A1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4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BD649D" w:rsidRPr="006364A1">
        <w:rPr>
          <w:rFonts w:ascii="Times New Roman" w:hAnsi="Times New Roman" w:cs="Times New Roman"/>
          <w:b/>
          <w:sz w:val="24"/>
          <w:szCs w:val="24"/>
        </w:rPr>
        <w:t>PATVIRTINTA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direktoriaus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201</w:t>
      </w:r>
      <w:r w:rsidR="005F58BA">
        <w:rPr>
          <w:rFonts w:ascii="Times New Roman" w:hAnsi="Times New Roman" w:cs="Times New Roman"/>
          <w:sz w:val="24"/>
          <w:szCs w:val="24"/>
        </w:rPr>
        <w:t>7</w:t>
      </w:r>
      <w:r w:rsidR="00BD649D">
        <w:rPr>
          <w:rFonts w:ascii="Times New Roman" w:hAnsi="Times New Roman" w:cs="Times New Roman"/>
          <w:sz w:val="24"/>
          <w:szCs w:val="24"/>
        </w:rPr>
        <w:t xml:space="preserve"> m</w:t>
      </w:r>
      <w:r w:rsidR="00AE66BE">
        <w:rPr>
          <w:rFonts w:ascii="Times New Roman" w:hAnsi="Times New Roman" w:cs="Times New Roman"/>
          <w:sz w:val="24"/>
          <w:szCs w:val="24"/>
        </w:rPr>
        <w:t>. kovo 16</w:t>
      </w:r>
      <w:r w:rsidR="00BD649D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/>
          <w:sz w:val="24"/>
          <w:szCs w:val="24"/>
        </w:rPr>
        <w:t xml:space="preserve">                                                    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 New Roman" w:hAnsi="Times New Roman" w:cs="Times New Roman"/>
          <w:sz w:val="24"/>
          <w:szCs w:val="24"/>
        </w:rPr>
        <w:t xml:space="preserve">sakymu Nr. </w:t>
      </w:r>
      <w:r w:rsidR="00AE66BE">
        <w:rPr>
          <w:rFonts w:ascii="Times New Roman" w:hAnsi="Times New Roman" w:cs="Times New Roman"/>
          <w:sz w:val="24"/>
          <w:szCs w:val="24"/>
        </w:rPr>
        <w:t>V-15</w:t>
      </w:r>
    </w:p>
    <w:p w:rsidR="00BD649D" w:rsidRPr="006364A1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D649D" w:rsidRPr="006364A1">
        <w:rPr>
          <w:rFonts w:ascii="Times New Roman" w:hAnsi="Times New Roman" w:cs="Times New Roman"/>
          <w:b/>
          <w:sz w:val="24"/>
          <w:szCs w:val="24"/>
        </w:rPr>
        <w:t>PRITARTA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Mokytoj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tarybos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201</w:t>
      </w:r>
      <w:r w:rsidR="00E32841">
        <w:rPr>
          <w:rFonts w:ascii="Times New Roman" w:hAnsi="Times New Roman" w:cs="Times New Roman"/>
          <w:sz w:val="24"/>
          <w:szCs w:val="24"/>
        </w:rPr>
        <w:t>7 m.</w:t>
      </w:r>
      <w:r w:rsidR="00AE66BE">
        <w:rPr>
          <w:rFonts w:ascii="Times New Roman" w:hAnsi="Times New Roman" w:cs="Times New Roman"/>
          <w:sz w:val="24"/>
          <w:szCs w:val="24"/>
        </w:rPr>
        <w:t>kovo 16 d.</w:t>
      </w:r>
      <w:r w:rsidR="00BD649D">
        <w:rPr>
          <w:rFonts w:ascii="Times New Roman" w:hAnsi="Times New Roman" w:cs="Times New Roman"/>
          <w:sz w:val="24"/>
          <w:szCs w:val="24"/>
        </w:rPr>
        <w:t xml:space="preserve"> pos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ė</w:t>
      </w:r>
      <w:r w:rsidR="00BD649D">
        <w:rPr>
          <w:rFonts w:ascii="Times New Roman" w:hAnsi="Times New Roman" w:cs="Times New Roman"/>
          <w:sz w:val="24"/>
          <w:szCs w:val="24"/>
        </w:rPr>
        <w:t>džio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protokoliniu nutarimu</w:t>
      </w:r>
    </w:p>
    <w:p w:rsidR="00BD649D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D649D">
        <w:rPr>
          <w:rFonts w:ascii="Times New Roman" w:hAnsi="Times New Roman" w:cs="Times New Roman"/>
          <w:sz w:val="24"/>
          <w:szCs w:val="24"/>
        </w:rPr>
        <w:t>(protokolas Nr.</w:t>
      </w:r>
      <w:r w:rsidR="00AE66BE">
        <w:rPr>
          <w:rFonts w:ascii="Times New Roman" w:hAnsi="Times New Roman" w:cs="Times New Roman"/>
          <w:sz w:val="24"/>
          <w:szCs w:val="24"/>
        </w:rPr>
        <w:t>8)</w:t>
      </w:r>
      <w:bookmarkStart w:id="0" w:name="_GoBack"/>
      <w:bookmarkEnd w:id="0"/>
    </w:p>
    <w:p w:rsidR="006364A1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9D" w:rsidRDefault="006364A1" w:rsidP="0029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VILNIAUS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 xml:space="preserve"> LOPŠELIO-DARŽELIO „</w:t>
      </w:r>
      <w:r>
        <w:rPr>
          <w:rFonts w:ascii="Times New Roman" w:hAnsi="Times New Roman" w:cs="Times New Roman"/>
          <w:b/>
          <w:bCs/>
          <w:sz w:val="24"/>
          <w:szCs w:val="24"/>
        </w:rPr>
        <w:t>ŽIBUTĖ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BD649D" w:rsidRDefault="00BD649D" w:rsidP="002958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MOKYTOJ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/>
          <w:bCs/>
          <w:sz w:val="24"/>
          <w:szCs w:val="24"/>
        </w:rPr>
        <w:t>IR PAGALBOS MOKINIUI SPECIALIST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Ų</w:t>
      </w:r>
    </w:p>
    <w:p w:rsidR="00BD649D" w:rsidRDefault="00BD649D" w:rsidP="0029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KVALIFIKACIJOS TOBULINIMO TVARKOS APRAŠAS</w:t>
      </w:r>
    </w:p>
    <w:p w:rsidR="006364A1" w:rsidRDefault="006364A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58BA">
        <w:rPr>
          <w:rFonts w:ascii="Times New Roman" w:hAnsi="Times New Roman" w:cs="Times New Roman"/>
          <w:sz w:val="24"/>
          <w:szCs w:val="24"/>
        </w:rPr>
        <w:t>Vilniaus</w:t>
      </w:r>
      <w:r>
        <w:rPr>
          <w:rFonts w:ascii="Times New Roman" w:hAnsi="Times New Roman" w:cs="Times New Roman"/>
          <w:sz w:val="24"/>
          <w:szCs w:val="24"/>
        </w:rPr>
        <w:t xml:space="preserve"> lopšelio-darželio „</w:t>
      </w:r>
      <w:r w:rsidR="005F58BA">
        <w:rPr>
          <w:rFonts w:ascii="Times New Roman" w:hAnsi="Times New Roman" w:cs="Times New Roman"/>
          <w:sz w:val="24"/>
          <w:szCs w:val="24"/>
        </w:rPr>
        <w:t>Žibutė</w:t>
      </w:r>
      <w:r>
        <w:rPr>
          <w:rFonts w:ascii="Times New Roman" w:hAnsi="Times New Roman" w:cs="Times New Roman"/>
          <w:sz w:val="24"/>
          <w:szCs w:val="24"/>
        </w:rPr>
        <w:t>“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pagalbos mokiniui specialist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tobulinimo tvarkos (toliau – aprašas) reglamentuoja </w:t>
      </w:r>
      <w:r w:rsidR="005F58BA">
        <w:rPr>
          <w:rFonts w:ascii="Times New Roman" w:hAnsi="Times New Roman" w:cs="Times New Roman"/>
          <w:sz w:val="24"/>
          <w:szCs w:val="24"/>
        </w:rPr>
        <w:t>Vilniaus</w:t>
      </w:r>
      <w:r>
        <w:rPr>
          <w:rFonts w:ascii="Times New Roman" w:hAnsi="Times New Roman" w:cs="Times New Roman"/>
          <w:sz w:val="24"/>
          <w:szCs w:val="24"/>
        </w:rPr>
        <w:t xml:space="preserve"> lopšelio-darželio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F58BA">
        <w:rPr>
          <w:rFonts w:ascii="Times New Roman" w:hAnsi="Times New Roman" w:cs="Times New Roman"/>
          <w:sz w:val="24"/>
          <w:szCs w:val="24"/>
        </w:rPr>
        <w:t>Žibutė</w:t>
      </w:r>
      <w:r>
        <w:rPr>
          <w:rFonts w:ascii="Times New Roman" w:hAnsi="Times New Roman" w:cs="Times New Roman"/>
          <w:sz w:val="24"/>
          <w:szCs w:val="24"/>
        </w:rPr>
        <w:t>“ (toliau – lopšelis-darželis) direktoriaus, direktoriaus pavaduotojo ugdymui, ikimokyklinio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ugdymo aukl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priešmokyklinio ugdymo pedagog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logoped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meninio ugdymo pedagogo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(toliau – mokytojai) kvalifikacijos tobulinimo tvark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Aprašas parengtas vadovaujantis Lietuvos Respublikos Vyriausyb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nutarimais,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ir mokslo ministerijos teis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aktais, Pedagog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atestacijos nuostatais,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staigos nuostatais.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KVALIFIKACIJOS TOBULINIMO TIKSLAI IR PRINCIPAI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Kvalifikacijos tobulinimo tikslai: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Skatinti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rybiškum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dalyko ir metodin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veiklos tobulinim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kompetencijos augim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Siekti didesn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atsakomyb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už profesin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veiklos rezultatus.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Sudaryti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lygas lopšelio-darželio mokytojams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gyvendinti kvalifikacijos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reikalavimus, apibr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žtus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pagalbos mokiniui specialist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(išskyrus psichologus)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atestacijos nuostatuose.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limo principai: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Lygi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galimybi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principas – kiekvienam asmeniui sudaromos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lygos tobulinti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savo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stinumo </w:t>
      </w:r>
      <w:r>
        <w:rPr>
          <w:rFonts w:ascii="TimesNewRoman" w:eastAsia="TimesNewRoman" w:hAnsi="Times New Roman" w:cs="TimesNewRoman" w:hint="eastAsia"/>
          <w:sz w:val="24"/>
          <w:szCs w:val="24"/>
        </w:rPr>
        <w:t>‒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sistema lanksti, atvira, pagr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vairi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veika; ji sudaro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lygas kiekvienam asmeniui mokytis vis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gyvenim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Sistemiškumo </w:t>
      </w:r>
      <w:r>
        <w:rPr>
          <w:rFonts w:ascii="TimesNewRoman" w:eastAsia="TimesNewRoman" w:hAnsi="Times New Roman" w:cs="TimesNewRoman" w:hint="eastAsia"/>
          <w:sz w:val="24"/>
          <w:szCs w:val="24"/>
        </w:rPr>
        <w:t>‒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limas yras sistemingas procesas ir permainas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numatoma vykdyti ilgesn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laikotarp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Laisvo apsisprendimo – akcentuojama kiekvieno mokytojo laisv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rinktis jam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reikalingas kvalifikacijos tobulinimo paslaugas derinant jas su lopšelio-darželio strateginio plano,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veiklos programos tikslais ir uždaviniais.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KVALIFIKACIJOS TOBULINIMO ORGANIZAVIMAS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Kvalifikacija tobulinama pagal Švietimo ir mokslo ministerijos ir kit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Švietimo ir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mokslo ministerijai pavaldži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(švietimo centr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stini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kt.)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kvalifikacijos tobulinimo programas, jeigu šios institucijos turi teis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 vykdyti.</w:t>
      </w:r>
    </w:p>
    <w:p w:rsidR="00BD649D" w:rsidRDefault="00BD649D" w:rsidP="003442D7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Lopšelio-darželio direktorius: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teis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akt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nustatyta tvarka sudaro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lygas mokytojams tobulinti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užtikrina mokinio krepšelio ir kit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skirt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kvalifikacijai tobulinti, racional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panaudojim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tvirtina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tvarkos apraš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kvalifikacijos tobulinimo program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bendradarbiauja su kvalifikacijos tobulinimo institucijomis.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Direktoriaus pavaduotojas ugdymui: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organizuoja lopšelio-darželio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rengia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kvalifikacijos tobulinimo program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, analizuoja jos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gyvendinim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konsultuoja ir teikia informacij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apie kvalifikacijos tobulinimo renginius;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taryboje arba metodin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je taryboje analizuoja, kaip mokytojai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tobulinimo metu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gyt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kompetencij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pritaiko savo praktinei veiklai ir ugdymo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kokybei gerinti;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328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tvarko dalyvavimo kvalifikacijos tobulinimo renginiuose apskait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rengia metin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ataskait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jos analiz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išvadas pristato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tarybos pos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dyje.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Kvalifikacijos tobulinimas planuojamas ir vykdomas dviem kryptimis: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bendras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limas siejamas su lopšelio-darželio prioritetais, tiksl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uždavini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gyvendinimu;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individualaus mokytojo kvalifikacijos tobulinimas siejamas su atestacijos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rekomendacijomis, sav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s tobulinimo programa.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Mokytojams keliant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prioritetai teikiami tokia tvarka: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keliant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darbo metu;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keliant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nemokamuose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limo kursuose;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keliant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kvalifikaciniuose renginiuose, kurie numatyti kaip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prioritetiniai metiniame veiklos plane;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mokytojams, kuriems numatyta atestacijos programoje atestuotis einamaisiais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metais.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staigos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programa rengiama vieneriems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metams, ap</w:t>
      </w:r>
      <w:r w:rsidR="00E32841">
        <w:rPr>
          <w:rFonts w:ascii="Times New Roman" w:hAnsi="Times New Roman" w:cs="Times New Roman"/>
          <w:sz w:val="24"/>
          <w:szCs w:val="24"/>
        </w:rPr>
        <w:t>tariama</w:t>
      </w:r>
      <w:r>
        <w:rPr>
          <w:rFonts w:ascii="Times New Roman" w:hAnsi="Times New Roman" w:cs="Times New Roman"/>
          <w:sz w:val="24"/>
          <w:szCs w:val="24"/>
        </w:rPr>
        <w:t xml:space="preserve">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taryboje ir tvirtinama lopšelio-darželio direktoriaus.</w:t>
      </w:r>
    </w:p>
    <w:p w:rsidR="00BD649D" w:rsidRDefault="00BD649D" w:rsidP="00890003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</w:t>
      </w:r>
      <w:r w:rsidR="00890003">
        <w:rPr>
          <w:rFonts w:ascii="Times New Roman" w:hAnsi="Times New Roman" w:cs="Times New Roman"/>
          <w:sz w:val="24"/>
          <w:szCs w:val="24"/>
        </w:rPr>
        <w:t xml:space="preserve">nimo programa papildoma ir rengiama sausio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n.,</w:t>
      </w:r>
      <w:r w:rsidR="00890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atsižvelgiant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lopšelio-darželio met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veiklos plano ir mokslo met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veiklos plano tikslus,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lopšelio</w:t>
      </w:r>
      <w:r w:rsidR="003A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darželio</w:t>
      </w:r>
      <w:r w:rsidR="003A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pageidavimus, kurie yra pateikiami direktoriaus pavaduotojui ugdymui einam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3A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rugs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 - spalio 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nesiais. Reikalui esant,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programa yra</w:t>
      </w:r>
      <w:r w:rsidR="003A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koreguojama rugs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jo 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nes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Mokytojai turi teis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kelti kvalifikacij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darbo dienas per metus.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apskait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tvarko direktoriaus pavaduotojas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ugdymui.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14. Darbuotojas, išsiųstas mokytis ar kelti kvalifikaciją, privalo lankyti visus užsiėmimus nuo pradžios iki pabaigos. Neatvykimas į mokymus ar pasišalinimas jam nesibaigus be pateisinamos priežasties traktuojamas kaip darbo drausmės pažeidimas ir už tai gali būti taikomos drausminės nuobaudos.</w:t>
      </w:r>
    </w:p>
    <w:p w:rsidR="00E32841" w:rsidRDefault="00E32841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15. Darbuotojas, siunčiamas į mokymus, kurie trunka daugiau kaip 40 akademinių valandų, privalo</w:t>
      </w:r>
      <w:r w:rsidR="00E53E09">
        <w:rPr>
          <w:rFonts w:ascii="Times New Roman" w:hAnsi="Times New Roman" w:cs="Times New Roman"/>
          <w:sz w:val="24"/>
          <w:szCs w:val="24"/>
        </w:rPr>
        <w:t xml:space="preserve"> pasirašyti mokymo sutartį, kuria įsipareigotų grąžinti mokymui skirtas lėšas, jeigu darbuotojas nutrauktų darbo santykius savo noru arba santykiai būtų nutraukti dėl darbuotojo kaltės anksčiau nei po 1 metų nuo sutarties pasirašymo dienos.</w:t>
      </w:r>
    </w:p>
    <w:p w:rsidR="00E53E09" w:rsidRDefault="00E53E09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E09" w:rsidRDefault="003442D7" w:rsidP="00344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KVALIFIKACIJOS K</w:t>
      </w:r>
      <w:r w:rsidR="00BD649D">
        <w:rPr>
          <w:rFonts w:ascii="TimesNewRoman,Bold" w:hAnsi="TimesNewRoman,Bold" w:cs="TimesNewRoman,Bold"/>
          <w:b/>
          <w:bCs/>
          <w:sz w:val="24"/>
          <w:szCs w:val="24"/>
        </w:rPr>
        <w:t>Ė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LIMO TVARKA</w:t>
      </w:r>
    </w:p>
    <w:p w:rsidR="003442D7" w:rsidRDefault="003442D7" w:rsidP="00344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3E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Mokytojas, ketindamas dalyvauti kvalifikaciniame renginyje, ne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liau kaip prieš</w:t>
      </w:r>
    </w:p>
    <w:p w:rsidR="00BD649D" w:rsidRDefault="00E53E09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649D">
        <w:rPr>
          <w:rFonts w:ascii="Times New Roman" w:hAnsi="Times New Roman" w:cs="Times New Roman"/>
          <w:sz w:val="24"/>
          <w:szCs w:val="24"/>
        </w:rPr>
        <w:t xml:space="preserve"> darbo dien</w:t>
      </w:r>
      <w:r>
        <w:rPr>
          <w:rFonts w:ascii="Times New Roman" w:hAnsi="Times New Roman" w:cs="Times New Roman"/>
          <w:sz w:val="24"/>
          <w:szCs w:val="24"/>
        </w:rPr>
        <w:t>ų iki mokymo pradžios</w:t>
      </w:r>
      <w:r w:rsidR="00BD649D">
        <w:rPr>
          <w:rFonts w:ascii="Times New Roman" w:hAnsi="Times New Roman" w:cs="Times New Roman"/>
          <w:sz w:val="24"/>
          <w:szCs w:val="24"/>
        </w:rPr>
        <w:t xml:space="preserve"> raštu kreipiasi 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lopšelio-darželio direktori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ir nurodo renginio pavadinim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 New Roman" w:hAnsi="Times New Roman" w:cs="Times New Roman"/>
          <w:sz w:val="24"/>
          <w:szCs w:val="24"/>
        </w:rPr>
        <w:t>, viet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trukm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D649D">
        <w:rPr>
          <w:rFonts w:ascii="Times New Roman" w:hAnsi="Times New Roman" w:cs="Times New Roman"/>
          <w:sz w:val="24"/>
          <w:szCs w:val="24"/>
        </w:rPr>
        <w:t>, apmok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ė</w:t>
      </w:r>
      <w:r w:rsidR="00BD649D">
        <w:rPr>
          <w:rFonts w:ascii="Times New Roman" w:hAnsi="Times New Roman" w:cs="Times New Roman"/>
          <w:sz w:val="24"/>
          <w:szCs w:val="24"/>
        </w:rPr>
        <w:t>jimo b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ū</w:t>
      </w:r>
      <w:r w:rsidR="00BD649D">
        <w:rPr>
          <w:rFonts w:ascii="Times New Roman" w:hAnsi="Times New Roman" w:cs="Times New Roman"/>
          <w:sz w:val="24"/>
          <w:szCs w:val="24"/>
        </w:rPr>
        <w:t>d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(pagal s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 New Roman" w:hAnsi="Times New Roman" w:cs="Times New Roman"/>
          <w:sz w:val="24"/>
          <w:szCs w:val="24"/>
        </w:rPr>
        <w:t>skait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fakt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ū</w:t>
      </w:r>
      <w:r w:rsidR="00BD649D">
        <w:rPr>
          <w:rFonts w:ascii="Times New Roman" w:hAnsi="Times New Roman" w:cs="Times New Roman"/>
          <w:sz w:val="24"/>
          <w:szCs w:val="24"/>
        </w:rPr>
        <w:t>r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BD649D">
        <w:rPr>
          <w:rFonts w:ascii="Times New Roman" w:hAnsi="Times New Roman" w:cs="Times New Roman"/>
          <w:sz w:val="24"/>
          <w:szCs w:val="24"/>
        </w:rPr>
        <w:t>, grynaisiais pinigais, naudosis asmenin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ė</w:t>
      </w:r>
      <w:r w:rsidR="00BD649D">
        <w:rPr>
          <w:rFonts w:ascii="Times New Roman" w:hAnsi="Times New Roman" w:cs="Times New Roman"/>
          <w:sz w:val="24"/>
          <w:szCs w:val="24"/>
        </w:rPr>
        <w:t>mis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mokinio krepšelio l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ė</w:t>
      </w:r>
      <w:r w:rsidR="00BD649D">
        <w:rPr>
          <w:rFonts w:ascii="Times New Roman" w:hAnsi="Times New Roman" w:cs="Times New Roman"/>
          <w:sz w:val="24"/>
          <w:szCs w:val="24"/>
        </w:rPr>
        <w:t>šomis, kit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fond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l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ė</w:t>
      </w:r>
      <w:r w:rsidR="00BD649D">
        <w:rPr>
          <w:rFonts w:ascii="Times New Roman" w:hAnsi="Times New Roman" w:cs="Times New Roman"/>
          <w:sz w:val="24"/>
          <w:szCs w:val="24"/>
        </w:rPr>
        <w:t>šomis).</w:t>
      </w:r>
      <w:r>
        <w:rPr>
          <w:rFonts w:ascii="Times New Roman" w:hAnsi="Times New Roman" w:cs="Times New Roman"/>
          <w:sz w:val="24"/>
          <w:szCs w:val="24"/>
        </w:rPr>
        <w:t xml:space="preserve"> Darbuotojas privalo turėti rašytinį vadovo sutikimą (vizą) dėl dalyvavimo mokymuose ar kvalifikacijos kėlimo kursuose. Turi būti surašyti argumentai, kodėl reikia vienų ar kitų mokymų.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3E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Jei kvalifikacinis renginys yra nemokamas, vyksta ne darbo metu, suderinimas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raštu yra neb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tinas.</w:t>
      </w:r>
    </w:p>
    <w:p w:rsidR="00BD649D" w:rsidRPr="001E492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E492D">
        <w:rPr>
          <w:rFonts w:ascii="Times New Roman" w:hAnsi="Times New Roman" w:cs="Times New Roman"/>
          <w:sz w:val="24"/>
          <w:szCs w:val="24"/>
        </w:rPr>
        <w:t>1</w:t>
      </w:r>
      <w:r w:rsidR="00E53E09" w:rsidRPr="001E492D">
        <w:rPr>
          <w:rFonts w:ascii="Times New Roman" w:hAnsi="Times New Roman" w:cs="Times New Roman"/>
          <w:sz w:val="24"/>
          <w:szCs w:val="24"/>
        </w:rPr>
        <w:t>8</w:t>
      </w:r>
      <w:r w:rsidRPr="001E492D">
        <w:rPr>
          <w:rFonts w:ascii="Times New Roman" w:hAnsi="Times New Roman" w:cs="Times New Roman"/>
          <w:sz w:val="24"/>
          <w:szCs w:val="24"/>
        </w:rPr>
        <w:t>. Jei kvalifikacijos renginys yra susij</w:t>
      </w:r>
      <w:r w:rsidRPr="001E492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1E492D">
        <w:rPr>
          <w:rFonts w:ascii="Times New Roman" w:hAnsi="Times New Roman" w:cs="Times New Roman"/>
          <w:sz w:val="24"/>
          <w:szCs w:val="24"/>
        </w:rPr>
        <w:t>s su mokytojo darbo diena pagal darbo</w:t>
      </w:r>
    </w:p>
    <w:p w:rsidR="001E492D" w:rsidRPr="001E492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2D">
        <w:rPr>
          <w:rFonts w:ascii="Times New Roman" w:hAnsi="Times New Roman" w:cs="Times New Roman"/>
          <w:sz w:val="24"/>
          <w:szCs w:val="24"/>
        </w:rPr>
        <w:lastRenderedPageBreak/>
        <w:t>grafik</w:t>
      </w:r>
      <w:r w:rsidRPr="001E492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1E492D">
        <w:rPr>
          <w:rFonts w:ascii="Times New Roman" w:hAnsi="Times New Roman" w:cs="Times New Roman"/>
          <w:sz w:val="24"/>
          <w:szCs w:val="24"/>
        </w:rPr>
        <w:t xml:space="preserve">, tai </w:t>
      </w:r>
      <w:r w:rsidR="001E492D" w:rsidRPr="001E492D">
        <w:rPr>
          <w:rFonts w:ascii="Times New Roman" w:hAnsi="Times New Roman" w:cs="Times New Roman"/>
          <w:sz w:val="24"/>
          <w:szCs w:val="24"/>
        </w:rPr>
        <w:t xml:space="preserve">pedagogas kelia kvalifikaciją kaip numatyta 16p., o už jį dirbančiam pedagogui mokėti priemoką už papildomų darbų vykdymą vadovaujantis 2017 m. sausio 17 d. Nr. XIII-198, LR Valstybės ir savivaldybių įstaigų darbuotojų darbo apmokėjimo </w:t>
      </w:r>
      <w:r w:rsidR="001E492D">
        <w:rPr>
          <w:rFonts w:ascii="Times New Roman" w:hAnsi="Times New Roman" w:cs="Times New Roman"/>
          <w:sz w:val="24"/>
          <w:szCs w:val="24"/>
        </w:rPr>
        <w:t>į</w:t>
      </w:r>
      <w:r w:rsidR="001E492D" w:rsidRPr="001E492D">
        <w:rPr>
          <w:rFonts w:ascii="Times New Roman" w:hAnsi="Times New Roman" w:cs="Times New Roman"/>
          <w:sz w:val="24"/>
          <w:szCs w:val="24"/>
        </w:rPr>
        <w:t>statymu.</w:t>
      </w:r>
      <w:r w:rsidR="001E4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E09" w:rsidRDefault="00E53E09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19. Kvalifikacija gali būti tobulinama paties darbuotojo arba darbdavio iniciatyva. Direktorės pavaduotoja ugdymui pateikia paraišką, įvertinusi darbuotojų pareigybės aprašyme nustatytus reikalavimus, vykdomas funkcijas, kitas aplinkybes, pasiūlo</w:t>
      </w:r>
      <w:r w:rsidR="00C54305">
        <w:rPr>
          <w:rFonts w:ascii="Times New Roman" w:hAnsi="Times New Roman" w:cs="Times New Roman"/>
          <w:sz w:val="24"/>
          <w:szCs w:val="24"/>
        </w:rPr>
        <w:t xml:space="preserve"> mokymo temas, laiką, mokymo įstaigas, kurių programos yra akredituotos.</w:t>
      </w:r>
    </w:p>
    <w:p w:rsidR="00BD649D" w:rsidRDefault="00C54305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D649D">
        <w:rPr>
          <w:rFonts w:ascii="Times New Roman" w:hAnsi="Times New Roman" w:cs="Times New Roman"/>
          <w:sz w:val="24"/>
          <w:szCs w:val="24"/>
        </w:rPr>
        <w:t>. Mokytojas gr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 New Roman" w:hAnsi="Times New Roman" w:cs="Times New Roman"/>
          <w:sz w:val="24"/>
          <w:szCs w:val="24"/>
        </w:rPr>
        <w:t>ž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D649D">
        <w:rPr>
          <w:rFonts w:ascii="Times New Roman" w:hAnsi="Times New Roman" w:cs="Times New Roman"/>
          <w:sz w:val="24"/>
          <w:szCs w:val="24"/>
        </w:rPr>
        <w:t>s iš kvalifikacijos tobulinimo renginio, direktoriaus pavaduotojui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ugdymui pateikia kvalifikacijos tobulinimo pažym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jimo kopij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patvirtinan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 dalyvavim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kvalifikaciniame renginyje</w:t>
      </w:r>
      <w:r w:rsidR="00C54305">
        <w:rPr>
          <w:rFonts w:ascii="Times New Roman" w:hAnsi="Times New Roman" w:cs="Times New Roman"/>
          <w:sz w:val="24"/>
          <w:szCs w:val="24"/>
        </w:rPr>
        <w:t>, kuri įsegama į asmens bylą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C54305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D649D">
        <w:rPr>
          <w:rFonts w:ascii="Times New Roman" w:hAnsi="Times New Roman" w:cs="Times New Roman"/>
          <w:sz w:val="24"/>
          <w:szCs w:val="24"/>
        </w:rPr>
        <w:t>. Mokytojai gr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 New Roman" w:hAnsi="Times New Roman" w:cs="Times New Roman"/>
          <w:sz w:val="24"/>
          <w:szCs w:val="24"/>
        </w:rPr>
        <w:t>ž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D649D">
        <w:rPr>
          <w:rFonts w:ascii="Times New Roman" w:hAnsi="Times New Roman" w:cs="Times New Roman"/>
          <w:sz w:val="24"/>
          <w:szCs w:val="24"/>
        </w:rPr>
        <w:t>s iš kvalifikacijos tobulinimo rengini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 New Roman" w:hAnsi="Times New Roman" w:cs="Times New Roman"/>
          <w:sz w:val="24"/>
          <w:szCs w:val="24"/>
        </w:rPr>
        <w:t>, direktoriui turi pateikti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išlaidas patvirtinan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ius dokumentus: 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skait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(jeigu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šos yra suplanuotos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lopšelio-darželio met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matoje).</w:t>
      </w:r>
    </w:p>
    <w:p w:rsidR="00BD649D" w:rsidRDefault="00C54305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D649D">
        <w:rPr>
          <w:rFonts w:ascii="Times New Roman" w:hAnsi="Times New Roman" w:cs="Times New Roman"/>
          <w:sz w:val="24"/>
          <w:szCs w:val="24"/>
        </w:rPr>
        <w:t>. Mokytojai, gr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 New Roman" w:hAnsi="Times New Roman" w:cs="Times New Roman"/>
          <w:sz w:val="24"/>
          <w:szCs w:val="24"/>
        </w:rPr>
        <w:t>ž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iš kvalifikacijos tobulinimo seminar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 New Roman" w:hAnsi="Times New Roman" w:cs="Times New Roman"/>
          <w:sz w:val="24"/>
          <w:szCs w:val="24"/>
        </w:rPr>
        <w:t>, konferencij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 New Roman" w:hAnsi="Times New Roman" w:cs="Times New Roman"/>
          <w:sz w:val="24"/>
          <w:szCs w:val="24"/>
        </w:rPr>
        <w:t>, stažuo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č</w:t>
      </w:r>
      <w:r w:rsidR="00BD649D">
        <w:rPr>
          <w:rFonts w:ascii="Times New Roman" w:hAnsi="Times New Roman" w:cs="Times New Roman"/>
          <w:sz w:val="24"/>
          <w:szCs w:val="24"/>
        </w:rPr>
        <w:t>i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ų</w:t>
      </w:r>
      <w:r w:rsidR="00BD649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BD649D">
        <w:rPr>
          <w:rFonts w:ascii="Times New Roman" w:hAnsi="Times New Roman" w:cs="Times New Roman"/>
          <w:sz w:val="24"/>
          <w:szCs w:val="24"/>
        </w:rPr>
        <w:t>ir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kt.,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gyta patirtimi dalijasi metodin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je taryboje arba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taryboje.</w:t>
      </w:r>
    </w:p>
    <w:p w:rsidR="00C54305" w:rsidRDefault="00C54305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305" w:rsidRDefault="00C54305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9D" w:rsidRDefault="00295868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KVALIFIKACIJAI TOBULINTI SKIRT</w:t>
      </w:r>
      <w:r w:rsidR="00BD649D">
        <w:rPr>
          <w:rFonts w:ascii="TimesNewRoman,Bold" w:hAnsi="TimesNewRoman,Bold" w:cs="TimesNewRoman,Bold"/>
          <w:b/>
          <w:bCs/>
          <w:sz w:val="24"/>
          <w:szCs w:val="24"/>
        </w:rPr>
        <w:t xml:space="preserve">Ų 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D649D">
        <w:rPr>
          <w:rFonts w:ascii="TimesNewRoman,Bold" w:hAnsi="TimesNewRoman,Bold" w:cs="TimesNewRoman,Bold"/>
          <w:b/>
          <w:bCs/>
          <w:sz w:val="24"/>
          <w:szCs w:val="24"/>
        </w:rPr>
        <w:t>Ė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BD649D">
        <w:rPr>
          <w:rFonts w:ascii="TimesNewRoman,Bold" w:hAnsi="TimesNewRoman,Bold" w:cs="TimesNewRoman,Bold"/>
          <w:b/>
          <w:bCs/>
          <w:sz w:val="24"/>
          <w:szCs w:val="24"/>
        </w:rPr>
        <w:t xml:space="preserve">Ų 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PANAUDOJIMAS</w:t>
      </w:r>
    </w:p>
    <w:p w:rsidR="00C54305" w:rsidRDefault="00C54305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tobulinimas gali b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ti finansuojamas: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 iš valstyb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biudžeto (mokinio krepšelio)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skirt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limui;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.2. fizini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asmen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šomis</w:t>
      </w:r>
      <w:r w:rsidR="00C54305"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Iš valstyb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biudžeto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gali b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ti finansuojama mokytojo edukacini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išvyk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matos dalis, kuri skirta kvalifikacijos tobulinimo programai vykdyti.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Kalendorini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pradžioje lopšelio-darželio direktorius informuoja mokytojus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tai, kiek einamiesiems metams skirta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kvalifikacijai tobulinti ir kokia šios sumos dalis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tenka kiekvienam mokytojui pagal mokinio krepšelio dyd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Už mokytojo dalyvavim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tobulinimo renginiuose apmokama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lopšelio-darželio biudžete turimas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šas. Lopšelis-darželis per metus apmoka ne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daugiau kaip už 5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limo dienas. Tr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kstant l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limas gali b</w:t>
      </w:r>
      <w:r>
        <w:rPr>
          <w:rFonts w:ascii="TimesNewRoman" w:eastAsia="TimesNewRoman" w:hAnsi="Times New Roman" w:cs="TimesNewRoman" w:hint="eastAsia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ti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finansuojamas iš dalies, pinigus skirstant proporcingai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>, dirban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pagrindin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je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darboviet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je, skai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iui.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Priimant sprendim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 kvalifikacinio renginio apmok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jimo, atsižvelgiama 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svarb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kokyb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jo reikalingum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 Pirmenyb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teikiama lopšelio-darželio tikslus,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uždavinius bei poreikius atitinkantiems renginiams.</w:t>
      </w:r>
    </w:p>
    <w:p w:rsidR="00C54305" w:rsidRDefault="00C54305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49D" w:rsidRDefault="00295868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BD649D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C54305" w:rsidRDefault="00C54305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Kvalifikacinius pažym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jimus saugo kiekvienas mokytojas asmeniškai.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3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prašymai dalyvauti 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limo renginiuose, lopšelio-darželio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kvalifikacijos k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limo programa, mokytoj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kvalifikacini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pažym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jim</w:t>
      </w:r>
      <w:r>
        <w:rPr>
          <w:rFonts w:ascii="TimesNewRoman" w:eastAsia="TimesNewRoman" w:hAnsi="Times New Roman" w:cs="TimesNewRoman" w:hint="eastAsia"/>
          <w:sz w:val="24"/>
          <w:szCs w:val="24"/>
        </w:rPr>
        <w:t>ų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kopijos saugomi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bylose pagal lopšelyje-darželyje patvirtint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dokumentacijos plan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49D" w:rsidRDefault="00C54305" w:rsidP="001E492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D649D">
        <w:rPr>
          <w:rFonts w:ascii="Times New Roman" w:hAnsi="Times New Roman" w:cs="Times New Roman"/>
          <w:sz w:val="24"/>
          <w:szCs w:val="24"/>
        </w:rPr>
        <w:t>. Dalyvavimas kvalifikacijos tobulinimo renginiuose užsienyje yra pripaž</w:t>
      </w:r>
      <w:r w:rsidR="00BD649D">
        <w:rPr>
          <w:rFonts w:ascii="TimesNewRoman" w:eastAsia="TimesNewRoman" w:hAnsi="Times New Roman" w:cs="TimesNewRoman" w:hint="eastAsia"/>
          <w:sz w:val="24"/>
          <w:szCs w:val="24"/>
        </w:rPr>
        <w:t>į</w:t>
      </w:r>
      <w:r w:rsidR="00BD649D">
        <w:rPr>
          <w:rFonts w:ascii="Times New Roman" w:hAnsi="Times New Roman" w:cs="Times New Roman"/>
          <w:sz w:val="24"/>
          <w:szCs w:val="24"/>
        </w:rPr>
        <w:t>stamas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kvalifikacijos tobulinimo rengin</w:t>
      </w:r>
      <w:r>
        <w:rPr>
          <w:rFonts w:ascii="TimesNewRoman" w:eastAsia="TimesNewRoman" w:hAnsi="Times New Roman" w:cs="TimesNewRoman" w:hint="eastAsia"/>
          <w:sz w:val="24"/>
          <w:szCs w:val="24"/>
        </w:rPr>
        <w:t>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organizavusios ar vykdžiusios institucijos išduotus</w:t>
      </w:r>
    </w:p>
    <w:p w:rsidR="00BD649D" w:rsidRDefault="00BD649D" w:rsidP="001E4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pažym</w:t>
      </w:r>
      <w:r>
        <w:rPr>
          <w:rFonts w:ascii="TimesNewRoman" w:eastAsia="TimesNewRoman" w:hAnsi="Times New Roman" w:cs="TimesNewRoman" w:hint="eastAsia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jimus.</w:t>
      </w:r>
    </w:p>
    <w:p w:rsidR="00F1370B" w:rsidRDefault="00BD649D" w:rsidP="001E492D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F1370B" w:rsidSect="003442D7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9D"/>
    <w:rsid w:val="000F5181"/>
    <w:rsid w:val="001E492D"/>
    <w:rsid w:val="00295868"/>
    <w:rsid w:val="002B3917"/>
    <w:rsid w:val="003442D7"/>
    <w:rsid w:val="003A0813"/>
    <w:rsid w:val="005F58BA"/>
    <w:rsid w:val="006364A1"/>
    <w:rsid w:val="006A5F49"/>
    <w:rsid w:val="007C2301"/>
    <w:rsid w:val="00890003"/>
    <w:rsid w:val="008F2E96"/>
    <w:rsid w:val="00990D36"/>
    <w:rsid w:val="009C1D35"/>
    <w:rsid w:val="00AE66BE"/>
    <w:rsid w:val="00BD649D"/>
    <w:rsid w:val="00C54305"/>
    <w:rsid w:val="00DB17E1"/>
    <w:rsid w:val="00E32841"/>
    <w:rsid w:val="00E53E09"/>
    <w:rsid w:val="00F1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6377</Words>
  <Characters>3635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Admin</cp:lastModifiedBy>
  <cp:revision>3</cp:revision>
  <cp:lastPrinted>2017-03-16T15:13:00Z</cp:lastPrinted>
  <dcterms:created xsi:type="dcterms:W3CDTF">2017-03-16T15:14:00Z</dcterms:created>
  <dcterms:modified xsi:type="dcterms:W3CDTF">2017-03-17T07:21:00Z</dcterms:modified>
</cp:coreProperties>
</file>